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CFA7" w14:textId="77777777" w:rsidR="00054E5A" w:rsidRDefault="0025292E">
      <w:pPr>
        <w:spacing w:line="360" w:lineRule="auto"/>
        <w:jc w:val="center"/>
        <w:rPr>
          <w:rFonts w:ascii="Arial" w:eastAsia="Arial" w:hAnsi="Arial" w:cs="Arial"/>
          <w:sz w:val="28"/>
          <w:szCs w:val="28"/>
        </w:rPr>
      </w:pPr>
      <w:r>
        <w:rPr>
          <w:rFonts w:ascii="Arial" w:eastAsia="Arial" w:hAnsi="Arial" w:cs="Arial"/>
          <w:b/>
          <w:bCs/>
          <w:sz w:val="28"/>
          <w:szCs w:val="28"/>
        </w:rPr>
        <w:t>Health and safety</w:t>
      </w:r>
    </w:p>
    <w:p w14:paraId="5972EDF7" w14:textId="77777777" w:rsidR="00054E5A" w:rsidRDefault="00054E5A">
      <w:pPr>
        <w:spacing w:line="360" w:lineRule="auto"/>
        <w:jc w:val="center"/>
        <w:rPr>
          <w:rFonts w:ascii="Arial" w:eastAsia="Arial" w:hAnsi="Arial" w:cs="Arial"/>
          <w:sz w:val="28"/>
          <w:szCs w:val="28"/>
        </w:rPr>
      </w:pPr>
    </w:p>
    <w:p w14:paraId="292014B1" w14:textId="77777777" w:rsidR="00054E5A" w:rsidRDefault="0025292E">
      <w:pPr>
        <w:spacing w:line="360" w:lineRule="auto"/>
        <w:jc w:val="center"/>
        <w:rPr>
          <w:rFonts w:ascii="Arial" w:eastAsia="Arial" w:hAnsi="Arial" w:cs="Arial"/>
          <w:sz w:val="28"/>
          <w:szCs w:val="28"/>
        </w:rPr>
      </w:pPr>
      <w:r>
        <w:rPr>
          <w:rFonts w:ascii="Arial" w:eastAsia="Arial" w:hAnsi="Arial" w:cs="Arial"/>
          <w:b/>
          <w:bCs/>
          <w:sz w:val="28"/>
          <w:szCs w:val="28"/>
        </w:rPr>
        <w:t>1.26 Food hygiene and Nutrition Policy</w:t>
      </w:r>
    </w:p>
    <w:p w14:paraId="4EC69CB9" w14:textId="77777777" w:rsidR="00054E5A" w:rsidRDefault="0025292E">
      <w:pPr>
        <w:spacing w:line="360" w:lineRule="auto"/>
        <w:jc w:val="center"/>
        <w:rPr>
          <w:rFonts w:ascii="Arial" w:eastAsia="Arial" w:hAnsi="Arial" w:cs="Arial"/>
          <w:sz w:val="22"/>
          <w:szCs w:val="22"/>
        </w:rPr>
      </w:pPr>
      <w:r>
        <w:rPr>
          <w:rFonts w:ascii="Arial" w:eastAsia="Arial" w:hAnsi="Arial" w:cs="Arial"/>
          <w:sz w:val="22"/>
          <w:szCs w:val="22"/>
        </w:rPr>
        <w:t>(Including procedure for reporting food poisoning)</w:t>
      </w:r>
    </w:p>
    <w:p w14:paraId="3477378E" w14:textId="77777777" w:rsidR="00054E5A" w:rsidRDefault="00054E5A">
      <w:pPr>
        <w:spacing w:line="360" w:lineRule="auto"/>
        <w:rPr>
          <w:rFonts w:ascii="Arial" w:eastAsia="Arial" w:hAnsi="Arial" w:cs="Arial"/>
          <w:sz w:val="28"/>
          <w:szCs w:val="28"/>
        </w:rPr>
      </w:pPr>
    </w:p>
    <w:p w14:paraId="5C9B0DF6" w14:textId="77777777" w:rsidR="00054E5A" w:rsidRDefault="0025292E">
      <w:pPr>
        <w:spacing w:line="360" w:lineRule="auto"/>
        <w:rPr>
          <w:rFonts w:ascii="Arial" w:eastAsia="Arial" w:hAnsi="Arial" w:cs="Arial"/>
          <w:sz w:val="22"/>
          <w:szCs w:val="22"/>
        </w:rPr>
      </w:pPr>
      <w:r>
        <w:rPr>
          <w:rFonts w:ascii="Arial" w:eastAsia="Arial" w:hAnsi="Arial" w:cs="Arial"/>
          <w:b/>
          <w:bCs/>
          <w:sz w:val="22"/>
          <w:szCs w:val="22"/>
        </w:rPr>
        <w:t>Policy statement</w:t>
      </w:r>
    </w:p>
    <w:p w14:paraId="43738C3B" w14:textId="77777777" w:rsidR="00054E5A" w:rsidRDefault="00054E5A">
      <w:pPr>
        <w:spacing w:line="360" w:lineRule="auto"/>
        <w:rPr>
          <w:rFonts w:ascii="Arial" w:eastAsia="Arial" w:hAnsi="Arial" w:cs="Arial"/>
          <w:sz w:val="22"/>
          <w:szCs w:val="22"/>
        </w:rPr>
      </w:pPr>
    </w:p>
    <w:p w14:paraId="42D7828F" w14:textId="77777777" w:rsidR="00054E5A" w:rsidRDefault="0025292E">
      <w:pPr>
        <w:spacing w:line="360" w:lineRule="auto"/>
        <w:rPr>
          <w:rFonts w:ascii="Arial" w:eastAsia="Arial" w:hAnsi="Arial" w:cs="Arial"/>
          <w:sz w:val="22"/>
          <w:szCs w:val="22"/>
        </w:rPr>
      </w:pPr>
      <w:r>
        <w:rPr>
          <w:rFonts w:ascii="Arial" w:eastAsia="Arial" w:hAnsi="Arial" w:cs="Arial"/>
          <w:sz w:val="22"/>
          <w:szCs w:val="22"/>
        </w:rPr>
        <w:t>At Burghclere Pre-School we provide and/or serve food for children on the following basis:</w:t>
      </w:r>
    </w:p>
    <w:p w14:paraId="60B87A98" w14:textId="77777777" w:rsidR="00054E5A" w:rsidRDefault="0025292E">
      <w:pPr>
        <w:numPr>
          <w:ilvl w:val="0"/>
          <w:numId w:val="4"/>
        </w:numPr>
        <w:spacing w:line="360" w:lineRule="auto"/>
        <w:rPr>
          <w:rFonts w:ascii="Arial" w:eastAsia="Arial" w:hAnsi="Arial" w:cs="Arial"/>
          <w:sz w:val="22"/>
          <w:szCs w:val="22"/>
        </w:rPr>
      </w:pPr>
      <w:r>
        <w:rPr>
          <w:rFonts w:ascii="Arial" w:eastAsia="Arial" w:hAnsi="Arial" w:cs="Arial"/>
          <w:sz w:val="22"/>
          <w:szCs w:val="22"/>
        </w:rPr>
        <w:t>Snacks.</w:t>
      </w:r>
    </w:p>
    <w:p w14:paraId="20440079" w14:textId="77777777" w:rsidR="00054E5A" w:rsidRDefault="0025292E">
      <w:pPr>
        <w:numPr>
          <w:ilvl w:val="0"/>
          <w:numId w:val="4"/>
        </w:numPr>
        <w:spacing w:line="360" w:lineRule="auto"/>
        <w:rPr>
          <w:rFonts w:ascii="Arial" w:eastAsia="Arial" w:hAnsi="Arial" w:cs="Arial"/>
          <w:sz w:val="22"/>
          <w:szCs w:val="22"/>
        </w:rPr>
      </w:pPr>
      <w:r>
        <w:rPr>
          <w:rFonts w:ascii="Arial" w:eastAsia="Arial" w:hAnsi="Arial" w:cs="Arial"/>
          <w:sz w:val="22"/>
          <w:szCs w:val="22"/>
        </w:rPr>
        <w:t>Packed lunches.</w:t>
      </w:r>
    </w:p>
    <w:p w14:paraId="6BD2E0F8" w14:textId="77777777" w:rsidR="00054E5A" w:rsidRDefault="00054E5A">
      <w:pPr>
        <w:pBdr>
          <w:top w:val="nil"/>
          <w:left w:val="nil"/>
          <w:bottom w:val="nil"/>
          <w:right w:val="nil"/>
          <w:between w:val="nil"/>
        </w:pBdr>
        <w:spacing w:line="360" w:lineRule="auto"/>
        <w:ind w:left="360"/>
        <w:rPr>
          <w:rFonts w:ascii="Arial" w:eastAsia="Arial" w:hAnsi="Arial" w:cs="Arial"/>
          <w:color w:val="000000"/>
          <w:sz w:val="22"/>
          <w:szCs w:val="22"/>
        </w:rPr>
      </w:pPr>
    </w:p>
    <w:p w14:paraId="140D8115" w14:textId="77777777" w:rsidR="00054E5A" w:rsidRDefault="0025292E">
      <w:pPr>
        <w:spacing w:line="360" w:lineRule="auto"/>
        <w:rPr>
          <w:rFonts w:ascii="Arial" w:eastAsia="Arial" w:hAnsi="Arial" w:cs="Arial"/>
          <w:sz w:val="22"/>
          <w:szCs w:val="22"/>
        </w:rPr>
      </w:pPr>
      <w:r>
        <w:rPr>
          <w:rFonts w:ascii="Arial" w:eastAsia="Arial" w:hAnsi="Arial" w:cs="Arial"/>
          <w:sz w:val="22"/>
          <w:szCs w:val="22"/>
        </w:rPr>
        <w:t xml:space="preserve">We maintain the highest possible food hygiene standards </w:t>
      </w:r>
      <w:proofErr w:type="gramStart"/>
      <w:r>
        <w:rPr>
          <w:rFonts w:ascii="Arial" w:eastAsia="Arial" w:hAnsi="Arial" w:cs="Arial"/>
          <w:sz w:val="22"/>
          <w:szCs w:val="22"/>
        </w:rPr>
        <w:t>with regard to</w:t>
      </w:r>
      <w:proofErr w:type="gramEnd"/>
      <w:r>
        <w:rPr>
          <w:rFonts w:ascii="Arial" w:eastAsia="Arial" w:hAnsi="Arial" w:cs="Arial"/>
          <w:sz w:val="22"/>
          <w:szCs w:val="22"/>
        </w:rPr>
        <w:t xml:space="preserve"> the purchase, storage, preparation and serving of food.</w:t>
      </w:r>
    </w:p>
    <w:p w14:paraId="651DC730" w14:textId="77777777" w:rsidR="00054E5A" w:rsidRDefault="00054E5A">
      <w:pPr>
        <w:spacing w:line="360" w:lineRule="auto"/>
        <w:rPr>
          <w:rFonts w:ascii="Arial" w:eastAsia="Arial" w:hAnsi="Arial" w:cs="Arial"/>
          <w:sz w:val="22"/>
          <w:szCs w:val="22"/>
        </w:rPr>
      </w:pPr>
    </w:p>
    <w:p w14:paraId="426F5DFF" w14:textId="77777777" w:rsidR="00054E5A" w:rsidRDefault="0025292E">
      <w:pPr>
        <w:spacing w:line="360" w:lineRule="auto"/>
        <w:rPr>
          <w:rFonts w:ascii="Arial" w:eastAsia="Arial" w:hAnsi="Arial" w:cs="Arial"/>
          <w:sz w:val="22"/>
          <w:szCs w:val="22"/>
        </w:rPr>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is registered as a food provider with the local authority Environmental Health Department.</w:t>
      </w:r>
    </w:p>
    <w:p w14:paraId="4575C625" w14:textId="77777777" w:rsidR="00054E5A" w:rsidRDefault="00054E5A">
      <w:pPr>
        <w:spacing w:line="360" w:lineRule="auto"/>
        <w:rPr>
          <w:rFonts w:ascii="Arial" w:eastAsia="Arial" w:hAnsi="Arial" w:cs="Arial"/>
          <w:sz w:val="22"/>
          <w:szCs w:val="22"/>
        </w:rPr>
      </w:pPr>
    </w:p>
    <w:p w14:paraId="523F505C" w14:textId="77777777" w:rsidR="00054E5A" w:rsidRDefault="0025292E">
      <w:pPr>
        <w:spacing w:line="360" w:lineRule="auto"/>
        <w:rPr>
          <w:rFonts w:ascii="Arial" w:eastAsia="Arial" w:hAnsi="Arial" w:cs="Arial"/>
          <w:sz w:val="22"/>
          <w:szCs w:val="22"/>
        </w:rPr>
      </w:pPr>
      <w:r>
        <w:rPr>
          <w:rFonts w:ascii="Arial" w:eastAsia="Arial" w:hAnsi="Arial" w:cs="Arial"/>
          <w:b/>
          <w:bCs/>
          <w:sz w:val="22"/>
          <w:szCs w:val="22"/>
        </w:rPr>
        <w:t>EYFS key themes and commitments</w:t>
      </w:r>
    </w:p>
    <w:tbl>
      <w:tblPr>
        <w:tblStyle w:val="a"/>
        <w:tblW w:w="98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4"/>
        <w:gridCol w:w="2455"/>
        <w:gridCol w:w="2455"/>
        <w:gridCol w:w="2455"/>
      </w:tblGrid>
      <w:tr w:rsidR="00054E5A" w14:paraId="5E80BD4F" w14:textId="77777777">
        <w:tc>
          <w:tcPr>
            <w:tcW w:w="2454" w:type="dxa"/>
            <w:shd w:val="clear" w:color="auto" w:fill="00ACB6"/>
          </w:tcPr>
          <w:p w14:paraId="61FAA7DF" w14:textId="77777777" w:rsidR="00054E5A" w:rsidRDefault="0025292E">
            <w:pPr>
              <w:pBdr>
                <w:top w:val="nil"/>
                <w:left w:val="nil"/>
                <w:bottom w:val="nil"/>
                <w:right w:val="nil"/>
                <w:between w:val="nil"/>
              </w:pBdr>
              <w:spacing w:line="360" w:lineRule="auto"/>
              <w:rPr>
                <w:rFonts w:ascii="Arial" w:eastAsia="Arial" w:hAnsi="Arial" w:cs="Arial"/>
                <w:color w:val="FFFFFF"/>
                <w:sz w:val="22"/>
                <w:szCs w:val="22"/>
              </w:rPr>
            </w:pPr>
            <w:r>
              <w:rPr>
                <w:rFonts w:ascii="Arial" w:eastAsia="Arial" w:hAnsi="Arial" w:cs="Arial"/>
                <w:b/>
                <w:bCs/>
                <w:color w:val="FFFFFF"/>
                <w:sz w:val="22"/>
                <w:szCs w:val="22"/>
              </w:rPr>
              <w:t>A Unique Child</w:t>
            </w:r>
          </w:p>
        </w:tc>
        <w:tc>
          <w:tcPr>
            <w:tcW w:w="2455" w:type="dxa"/>
            <w:shd w:val="clear" w:color="auto" w:fill="A64D8A"/>
          </w:tcPr>
          <w:p w14:paraId="6806F6AB" w14:textId="77777777" w:rsidR="00054E5A" w:rsidRDefault="0025292E">
            <w:pPr>
              <w:pBdr>
                <w:top w:val="nil"/>
                <w:left w:val="nil"/>
                <w:bottom w:val="nil"/>
                <w:right w:val="nil"/>
                <w:between w:val="nil"/>
              </w:pBdr>
              <w:spacing w:line="360" w:lineRule="auto"/>
              <w:rPr>
                <w:rFonts w:ascii="Arial" w:eastAsia="Arial" w:hAnsi="Arial" w:cs="Arial"/>
                <w:color w:val="FFFFFF"/>
              </w:rPr>
            </w:pPr>
            <w:r>
              <w:rPr>
                <w:rFonts w:ascii="Arial" w:eastAsia="Arial" w:hAnsi="Arial" w:cs="Arial"/>
                <w:b/>
                <w:bCs/>
                <w:color w:val="FFFFFF"/>
              </w:rPr>
              <w:t>Positive Relationships</w:t>
            </w:r>
          </w:p>
        </w:tc>
        <w:tc>
          <w:tcPr>
            <w:tcW w:w="2455" w:type="dxa"/>
            <w:shd w:val="clear" w:color="auto" w:fill="80B71B"/>
          </w:tcPr>
          <w:p w14:paraId="6E31E419" w14:textId="77777777" w:rsidR="00054E5A" w:rsidRDefault="0025292E">
            <w:pPr>
              <w:spacing w:line="360" w:lineRule="auto"/>
              <w:rPr>
                <w:rFonts w:ascii="Arial" w:eastAsia="Arial" w:hAnsi="Arial" w:cs="Arial"/>
                <w:color w:val="FFFFFF"/>
                <w:sz w:val="22"/>
                <w:szCs w:val="22"/>
              </w:rPr>
            </w:pPr>
            <w:r>
              <w:rPr>
                <w:rFonts w:ascii="Arial" w:eastAsia="Arial" w:hAnsi="Arial" w:cs="Arial"/>
                <w:b/>
                <w:bCs/>
                <w:color w:val="FFFFFF"/>
                <w:sz w:val="22"/>
                <w:szCs w:val="22"/>
              </w:rPr>
              <w:t>Enabling Environments</w:t>
            </w:r>
          </w:p>
        </w:tc>
        <w:tc>
          <w:tcPr>
            <w:tcW w:w="2455" w:type="dxa"/>
            <w:shd w:val="clear" w:color="auto" w:fill="EE7F00"/>
          </w:tcPr>
          <w:p w14:paraId="0B087517" w14:textId="77777777" w:rsidR="00054E5A" w:rsidRDefault="0025292E">
            <w:pPr>
              <w:pBdr>
                <w:top w:val="nil"/>
                <w:left w:val="nil"/>
                <w:bottom w:val="nil"/>
                <w:right w:val="nil"/>
                <w:between w:val="nil"/>
              </w:pBdr>
              <w:spacing w:line="360" w:lineRule="auto"/>
              <w:rPr>
                <w:rFonts w:ascii="Arial" w:eastAsia="Arial" w:hAnsi="Arial" w:cs="Arial"/>
                <w:color w:val="FFFFFF"/>
              </w:rPr>
            </w:pPr>
            <w:r>
              <w:rPr>
                <w:rFonts w:ascii="Arial" w:eastAsia="Arial" w:hAnsi="Arial" w:cs="Arial"/>
                <w:b/>
                <w:bCs/>
                <w:color w:val="FFFFFF"/>
              </w:rPr>
              <w:t>Learning and Development</w:t>
            </w:r>
          </w:p>
        </w:tc>
      </w:tr>
      <w:tr w:rsidR="00054E5A" w14:paraId="12EA9163" w14:textId="77777777">
        <w:tc>
          <w:tcPr>
            <w:tcW w:w="2454" w:type="dxa"/>
            <w:shd w:val="clear" w:color="auto" w:fill="00ACB6"/>
          </w:tcPr>
          <w:p w14:paraId="0BEB6442" w14:textId="77777777" w:rsidR="00054E5A" w:rsidRDefault="0025292E">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1.3 Keeping safe</w:t>
            </w:r>
          </w:p>
        </w:tc>
        <w:tc>
          <w:tcPr>
            <w:tcW w:w="2455" w:type="dxa"/>
            <w:shd w:val="clear" w:color="auto" w:fill="A64D8A"/>
          </w:tcPr>
          <w:p w14:paraId="6071E24F" w14:textId="77777777" w:rsidR="00054E5A" w:rsidRDefault="00054E5A">
            <w:pPr>
              <w:pBdr>
                <w:top w:val="nil"/>
                <w:left w:val="nil"/>
                <w:bottom w:val="nil"/>
                <w:right w:val="nil"/>
                <w:between w:val="nil"/>
              </w:pBdr>
              <w:spacing w:line="360" w:lineRule="auto"/>
              <w:ind w:left="360" w:hanging="360"/>
              <w:rPr>
                <w:rFonts w:ascii="Arial" w:eastAsia="Arial" w:hAnsi="Arial" w:cs="Arial"/>
                <w:color w:val="FFFFFF"/>
              </w:rPr>
            </w:pPr>
          </w:p>
        </w:tc>
        <w:tc>
          <w:tcPr>
            <w:tcW w:w="2455" w:type="dxa"/>
            <w:shd w:val="clear" w:color="auto" w:fill="80B71B"/>
          </w:tcPr>
          <w:p w14:paraId="0C03E298" w14:textId="77777777" w:rsidR="00054E5A" w:rsidRDefault="0025292E">
            <w:pPr>
              <w:spacing w:line="360" w:lineRule="auto"/>
              <w:ind w:left="360" w:hanging="360"/>
              <w:rPr>
                <w:rFonts w:ascii="Arial" w:eastAsia="Arial" w:hAnsi="Arial" w:cs="Arial"/>
                <w:color w:val="FFFFFF"/>
              </w:rPr>
            </w:pPr>
            <w:r>
              <w:rPr>
                <w:rFonts w:ascii="Arial" w:eastAsia="Arial" w:hAnsi="Arial" w:cs="Arial"/>
                <w:color w:val="FFFFFF"/>
                <w:sz w:val="22"/>
                <w:szCs w:val="22"/>
              </w:rPr>
              <w:t>3.3 The learning environment</w:t>
            </w:r>
          </w:p>
          <w:p w14:paraId="0C18984B" w14:textId="77777777" w:rsidR="00054E5A" w:rsidRDefault="0025292E">
            <w:pPr>
              <w:spacing w:line="360" w:lineRule="auto"/>
              <w:ind w:left="360" w:hanging="360"/>
              <w:rPr>
                <w:rFonts w:ascii="Arial" w:eastAsia="Arial" w:hAnsi="Arial" w:cs="Arial"/>
                <w:color w:val="FFFFFF"/>
              </w:rPr>
            </w:pPr>
            <w:r>
              <w:rPr>
                <w:rFonts w:ascii="Arial" w:eastAsia="Arial" w:hAnsi="Arial" w:cs="Arial"/>
                <w:color w:val="FFFFFF"/>
                <w:sz w:val="22"/>
                <w:szCs w:val="22"/>
              </w:rPr>
              <w:t>3.4 The wider context</w:t>
            </w:r>
          </w:p>
        </w:tc>
        <w:tc>
          <w:tcPr>
            <w:tcW w:w="2455" w:type="dxa"/>
            <w:shd w:val="clear" w:color="auto" w:fill="EE7F00"/>
          </w:tcPr>
          <w:p w14:paraId="26973C21" w14:textId="77777777" w:rsidR="00054E5A" w:rsidRDefault="00054E5A">
            <w:pPr>
              <w:pBdr>
                <w:top w:val="nil"/>
                <w:left w:val="nil"/>
                <w:bottom w:val="nil"/>
                <w:right w:val="nil"/>
                <w:between w:val="nil"/>
              </w:pBdr>
              <w:spacing w:line="360" w:lineRule="auto"/>
              <w:ind w:left="360" w:hanging="360"/>
              <w:rPr>
                <w:rFonts w:ascii="Arial" w:eastAsia="Arial" w:hAnsi="Arial" w:cs="Arial"/>
                <w:color w:val="FFFFFF"/>
              </w:rPr>
            </w:pPr>
          </w:p>
        </w:tc>
      </w:tr>
    </w:tbl>
    <w:p w14:paraId="4BD83CCF" w14:textId="77777777" w:rsidR="00054E5A" w:rsidRDefault="00054E5A">
      <w:pPr>
        <w:spacing w:line="360" w:lineRule="auto"/>
        <w:rPr>
          <w:rFonts w:ascii="Arial" w:eastAsia="Arial" w:hAnsi="Arial" w:cs="Arial"/>
          <w:sz w:val="22"/>
          <w:szCs w:val="22"/>
        </w:rPr>
      </w:pPr>
    </w:p>
    <w:p w14:paraId="41A1B3BB" w14:textId="77777777" w:rsidR="00054E5A" w:rsidRDefault="0025292E">
      <w:pPr>
        <w:spacing w:line="360" w:lineRule="auto"/>
        <w:rPr>
          <w:rFonts w:ascii="Arial" w:eastAsia="Arial" w:hAnsi="Arial" w:cs="Arial"/>
          <w:sz w:val="22"/>
          <w:szCs w:val="22"/>
        </w:rPr>
      </w:pPr>
      <w:r>
        <w:rPr>
          <w:rFonts w:ascii="Arial" w:eastAsia="Arial" w:hAnsi="Arial" w:cs="Arial"/>
          <w:b/>
          <w:bCs/>
          <w:sz w:val="22"/>
          <w:szCs w:val="22"/>
        </w:rPr>
        <w:t>Procedures</w:t>
      </w:r>
    </w:p>
    <w:p w14:paraId="7378E14D" w14:textId="77777777" w:rsidR="00054E5A" w:rsidRDefault="00054E5A">
      <w:pPr>
        <w:spacing w:line="360" w:lineRule="auto"/>
        <w:ind w:left="360"/>
        <w:rPr>
          <w:rFonts w:ascii="Arial" w:eastAsia="Arial" w:hAnsi="Arial" w:cs="Arial"/>
          <w:sz w:val="22"/>
          <w:szCs w:val="22"/>
        </w:rPr>
      </w:pPr>
    </w:p>
    <w:p w14:paraId="7F68350A"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The person in charge and the person responsible for food preparation understands the principles of Hazard Analysis and Critical Control Point (</w:t>
      </w:r>
      <w:r>
        <w:rPr>
          <w:rFonts w:ascii="Arial" w:eastAsia="Arial" w:hAnsi="Arial" w:cs="Arial"/>
          <w:sz w:val="22"/>
          <w:szCs w:val="22"/>
        </w:rPr>
        <w:t>HACCP</w:t>
      </w:r>
      <w:r>
        <w:rPr>
          <w:rFonts w:ascii="Arial" w:eastAsia="Arial" w:hAnsi="Arial" w:cs="Arial"/>
          <w:sz w:val="22"/>
          <w:szCs w:val="22"/>
        </w:rPr>
        <w:t xml:space="preserve">) as it applies to their business. This is set out in </w:t>
      </w:r>
      <w:r>
        <w:rPr>
          <w:rFonts w:ascii="Arial" w:eastAsia="Arial" w:hAnsi="Arial" w:cs="Arial"/>
          <w:i/>
          <w:iCs/>
          <w:sz w:val="22"/>
          <w:szCs w:val="22"/>
        </w:rPr>
        <w:t>Safer Food Better Business</w:t>
      </w:r>
      <w:r>
        <w:rPr>
          <w:rFonts w:ascii="Arial" w:eastAsia="Arial" w:hAnsi="Arial" w:cs="Arial"/>
          <w:sz w:val="22"/>
          <w:szCs w:val="22"/>
        </w:rPr>
        <w:t>. The basis for this is risk assessment applies to the purchase, storage, preparation and serving of food to prevent growth of bacteria and food contamination.</w:t>
      </w:r>
    </w:p>
    <w:p w14:paraId="5BC7BA64"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 xml:space="preserve">All staff follow the guidelines </w:t>
      </w:r>
      <w:r>
        <w:rPr>
          <w:rFonts w:ascii="Arial" w:eastAsia="Arial" w:hAnsi="Arial" w:cs="Arial"/>
          <w:i/>
          <w:iCs/>
          <w:sz w:val="22"/>
          <w:szCs w:val="22"/>
        </w:rPr>
        <w:t>of Safer Food Better Business</w:t>
      </w:r>
      <w:r>
        <w:rPr>
          <w:rFonts w:ascii="Arial" w:eastAsia="Arial" w:hAnsi="Arial" w:cs="Arial"/>
          <w:sz w:val="22"/>
          <w:szCs w:val="22"/>
        </w:rPr>
        <w:t>.</w:t>
      </w:r>
    </w:p>
    <w:p w14:paraId="18466E9D"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At least one person has an in-date Food Hygiene Certificate.</w:t>
      </w:r>
    </w:p>
    <w:p w14:paraId="610E402B"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 xml:space="preserve">The person responsible for food preparation and serving carries out daily opening and closing checks on the kitchen to ensure standards are met consistently (See </w:t>
      </w:r>
      <w:r>
        <w:rPr>
          <w:rFonts w:ascii="Arial" w:eastAsia="Arial" w:hAnsi="Arial" w:cs="Arial"/>
          <w:i/>
          <w:iCs/>
          <w:sz w:val="22"/>
          <w:szCs w:val="22"/>
        </w:rPr>
        <w:t>Safer Food Better Business</w:t>
      </w:r>
      <w:r>
        <w:rPr>
          <w:rFonts w:ascii="Arial" w:eastAsia="Arial" w:hAnsi="Arial" w:cs="Arial"/>
          <w:sz w:val="22"/>
          <w:szCs w:val="22"/>
        </w:rPr>
        <w:t>).</w:t>
      </w:r>
    </w:p>
    <w:p w14:paraId="7AC0A83B"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We use reliable suppliers for the food we purchase.</w:t>
      </w:r>
    </w:p>
    <w:p w14:paraId="4C02CDE1"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lastRenderedPageBreak/>
        <w:t>Food is stored at correct temperatures and is checked to ensure it is in-date and not subject to contamination by pests, rodents or mould.</w:t>
      </w:r>
    </w:p>
    <w:p w14:paraId="22A100B0"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Packed lunches are stored in a cool place; un-refrigerated food is served to children within 4 hours of preparation at home.</w:t>
      </w:r>
    </w:p>
    <w:p w14:paraId="15A43283"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Food preparation areas are cleaned before use as well as after use.</w:t>
      </w:r>
    </w:p>
    <w:p w14:paraId="57328582"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There are separate facilities for handwashing and for washing up.</w:t>
      </w:r>
    </w:p>
    <w:p w14:paraId="4838B5BA"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All surfaces are clean and non-porous.</w:t>
      </w:r>
    </w:p>
    <w:p w14:paraId="42A070D2"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All utensils, crockery etc are clean and stored appropriately.</w:t>
      </w:r>
    </w:p>
    <w:p w14:paraId="2014F05F"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Waste food is disposed of daily.</w:t>
      </w:r>
    </w:p>
    <w:p w14:paraId="5E563C4F" w14:textId="77777777" w:rsidR="00054E5A" w:rsidRDefault="0025292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Cleaning materials and other dangerous materials are stored out of children's reach.</w:t>
      </w:r>
    </w:p>
    <w:p w14:paraId="2D548DB3" w14:textId="77777777" w:rsidR="00054E5A" w:rsidRDefault="0025292E">
      <w:pPr>
        <w:numPr>
          <w:ilvl w:val="0"/>
          <w:numId w:val="1"/>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Children do not have unsupervised access to the kitchen.</w:t>
      </w:r>
    </w:p>
    <w:p w14:paraId="1FCCCE31" w14:textId="77777777" w:rsidR="00054E5A" w:rsidRDefault="0025292E">
      <w:pPr>
        <w:numPr>
          <w:ilvl w:val="0"/>
          <w:numId w:val="1"/>
        </w:numPr>
        <w:spacing w:line="360" w:lineRule="auto"/>
        <w:rPr>
          <w:rFonts w:ascii="Arial" w:eastAsia="Arial" w:hAnsi="Arial" w:cs="Arial"/>
          <w:sz w:val="22"/>
          <w:szCs w:val="22"/>
        </w:rPr>
      </w:pPr>
      <w:r>
        <w:rPr>
          <w:rFonts w:ascii="Arial" w:eastAsia="Arial" w:hAnsi="Arial" w:cs="Arial"/>
          <w:sz w:val="22"/>
          <w:szCs w:val="22"/>
        </w:rPr>
        <w:t>When children take part in cooking activities, they:</w:t>
      </w:r>
    </w:p>
    <w:p w14:paraId="0F0EF031" w14:textId="77777777" w:rsidR="00054E5A" w:rsidRDefault="0025292E">
      <w:pPr>
        <w:numPr>
          <w:ilvl w:val="0"/>
          <w:numId w:val="2"/>
        </w:numPr>
        <w:spacing w:line="360" w:lineRule="auto"/>
        <w:rPr>
          <w:rFonts w:ascii="Arial" w:eastAsia="Arial" w:hAnsi="Arial" w:cs="Arial"/>
          <w:sz w:val="22"/>
          <w:szCs w:val="22"/>
        </w:rPr>
      </w:pPr>
      <w:r>
        <w:rPr>
          <w:rFonts w:ascii="Arial" w:eastAsia="Arial" w:hAnsi="Arial" w:cs="Arial"/>
          <w:sz w:val="22"/>
          <w:szCs w:val="22"/>
        </w:rPr>
        <w:t>are always supervised.</w:t>
      </w:r>
    </w:p>
    <w:p w14:paraId="4B2138BB" w14:textId="77777777" w:rsidR="00054E5A" w:rsidRDefault="0025292E">
      <w:pPr>
        <w:numPr>
          <w:ilvl w:val="0"/>
          <w:numId w:val="2"/>
        </w:numPr>
        <w:spacing w:line="360" w:lineRule="auto"/>
        <w:rPr>
          <w:rFonts w:ascii="Arial" w:eastAsia="Arial" w:hAnsi="Arial" w:cs="Arial"/>
          <w:sz w:val="22"/>
          <w:szCs w:val="22"/>
        </w:rPr>
      </w:pPr>
      <w:r>
        <w:rPr>
          <w:rFonts w:ascii="Arial" w:eastAsia="Arial" w:hAnsi="Arial" w:cs="Arial"/>
          <w:sz w:val="22"/>
          <w:szCs w:val="22"/>
        </w:rPr>
        <w:t>understand the importance of hand washing and simple hygiene rules.</w:t>
      </w:r>
    </w:p>
    <w:p w14:paraId="548A28DC" w14:textId="77777777" w:rsidR="00054E5A" w:rsidRDefault="0025292E">
      <w:pPr>
        <w:numPr>
          <w:ilvl w:val="0"/>
          <w:numId w:val="2"/>
        </w:numPr>
        <w:spacing w:line="360" w:lineRule="auto"/>
        <w:rPr>
          <w:rFonts w:ascii="Arial" w:eastAsia="Arial" w:hAnsi="Arial" w:cs="Arial"/>
          <w:sz w:val="22"/>
          <w:szCs w:val="22"/>
        </w:rPr>
      </w:pPr>
      <w:r>
        <w:rPr>
          <w:rFonts w:ascii="Arial" w:eastAsia="Arial" w:hAnsi="Arial" w:cs="Arial"/>
          <w:sz w:val="22"/>
          <w:szCs w:val="22"/>
        </w:rPr>
        <w:t>are kept away from hot surfaces and hot water.</w:t>
      </w:r>
    </w:p>
    <w:p w14:paraId="534E7256" w14:textId="77777777" w:rsidR="00054E5A" w:rsidRDefault="0025292E">
      <w:pPr>
        <w:numPr>
          <w:ilvl w:val="0"/>
          <w:numId w:val="2"/>
        </w:numPr>
        <w:spacing w:line="360" w:lineRule="auto"/>
        <w:rPr>
          <w:rFonts w:ascii="Arial" w:eastAsia="Arial" w:hAnsi="Arial" w:cs="Arial"/>
          <w:sz w:val="22"/>
          <w:szCs w:val="22"/>
        </w:rPr>
      </w:pPr>
      <w:r>
        <w:rPr>
          <w:rFonts w:ascii="Arial" w:eastAsia="Arial" w:hAnsi="Arial" w:cs="Arial"/>
          <w:sz w:val="22"/>
          <w:szCs w:val="22"/>
        </w:rPr>
        <w:t>do not have unsupervised access to electrical equipment such as blenders etc.</w:t>
      </w:r>
    </w:p>
    <w:p w14:paraId="03853519" w14:textId="77777777" w:rsidR="00054E5A" w:rsidRDefault="00054E5A">
      <w:pPr>
        <w:spacing w:line="360" w:lineRule="auto"/>
        <w:ind w:left="360"/>
        <w:rPr>
          <w:rFonts w:ascii="Arial" w:eastAsia="Arial" w:hAnsi="Arial" w:cs="Arial"/>
        </w:rPr>
      </w:pPr>
    </w:p>
    <w:p w14:paraId="2852AA1E" w14:textId="77777777" w:rsidR="00054E5A" w:rsidRDefault="0025292E">
      <w:pPr>
        <w:spacing w:line="360" w:lineRule="auto"/>
        <w:rPr>
          <w:rFonts w:ascii="Arial" w:eastAsia="Arial" w:hAnsi="Arial" w:cs="Arial"/>
        </w:rPr>
      </w:pPr>
      <w:r>
        <w:rPr>
          <w:rFonts w:ascii="Arial" w:eastAsia="Arial" w:hAnsi="Arial" w:cs="Arial"/>
          <w:b/>
          <w:bCs/>
        </w:rPr>
        <w:t>Reporting of food poisoning</w:t>
      </w:r>
    </w:p>
    <w:p w14:paraId="065516EC" w14:textId="77777777" w:rsidR="00054E5A" w:rsidRDefault="0025292E">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Food poisoning can occur for several reasons; not all cases of sickness or diarrhoea are </w:t>
      </w:r>
      <w:proofErr w:type="gramStart"/>
      <w:r>
        <w:rPr>
          <w:rFonts w:ascii="Arial" w:eastAsia="Arial" w:hAnsi="Arial" w:cs="Arial"/>
          <w:color w:val="000000"/>
          <w:sz w:val="22"/>
          <w:szCs w:val="22"/>
        </w:rPr>
        <w:t>as a result of</w:t>
      </w:r>
      <w:proofErr w:type="gramEnd"/>
      <w:r>
        <w:rPr>
          <w:rFonts w:ascii="Arial" w:eastAsia="Arial" w:hAnsi="Arial" w:cs="Arial"/>
          <w:color w:val="000000"/>
          <w:sz w:val="22"/>
          <w:szCs w:val="22"/>
        </w:rPr>
        <w:t xml:space="preserve"> food poisoning, and not all cases of sickness or diarrhoea are reportable.</w:t>
      </w:r>
    </w:p>
    <w:p w14:paraId="095CFCEE" w14:textId="77777777" w:rsidR="00054E5A" w:rsidRDefault="0025292E">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Where children and/or adults have been diagnosed by a GP or hospital doctor to be suffering from food poisoning and where it seems possible that the source of the outbreak is within the setting, the manager will contact the Environmental Health Department and the Health Protection Agency to report the outbreak and will comply with any investigation.</w:t>
      </w:r>
    </w:p>
    <w:p w14:paraId="4F5FFBD8" w14:textId="77777777" w:rsidR="00054E5A" w:rsidRDefault="0025292E">
      <w:pPr>
        <w:numPr>
          <w:ilvl w:val="0"/>
          <w:numId w:val="3"/>
        </w:num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If the food poisoning is identified as a notifiable disease under the Public Health (Infectious Diseases) Regulations 1988 the setting will report the matter to Ofsted.</w:t>
      </w:r>
    </w:p>
    <w:p w14:paraId="304D6EF4" w14:textId="77777777" w:rsidR="00054E5A" w:rsidRDefault="00054E5A">
      <w:pPr>
        <w:pBdr>
          <w:top w:val="nil"/>
          <w:left w:val="nil"/>
          <w:bottom w:val="nil"/>
          <w:right w:val="nil"/>
          <w:between w:val="nil"/>
        </w:pBdr>
        <w:spacing w:line="360" w:lineRule="auto"/>
        <w:ind w:left="360"/>
        <w:rPr>
          <w:rFonts w:ascii="Arial" w:eastAsia="Arial" w:hAnsi="Arial" w:cs="Arial"/>
          <w:color w:val="000000"/>
          <w:sz w:val="22"/>
          <w:szCs w:val="22"/>
        </w:rPr>
      </w:pPr>
    </w:p>
    <w:p w14:paraId="25A6462F" w14:textId="77777777" w:rsidR="00054E5A" w:rsidRDefault="0025292E">
      <w:pPr>
        <w:pBdr>
          <w:top w:val="nil"/>
          <w:left w:val="nil"/>
          <w:bottom w:val="nil"/>
          <w:right w:val="nil"/>
          <w:between w:val="nil"/>
        </w:pBdr>
        <w:spacing w:line="360" w:lineRule="auto"/>
        <w:ind w:left="360"/>
        <w:rPr>
          <w:rFonts w:ascii="Arial" w:eastAsia="Arial" w:hAnsi="Arial" w:cs="Arial"/>
          <w:color w:val="000000"/>
        </w:rPr>
      </w:pPr>
      <w:r>
        <w:rPr>
          <w:rFonts w:ascii="Arial" w:eastAsia="Arial" w:hAnsi="Arial" w:cs="Arial"/>
          <w:b/>
          <w:bCs/>
          <w:color w:val="000000"/>
        </w:rPr>
        <w:t xml:space="preserve">Serving Packed lunches </w:t>
      </w:r>
    </w:p>
    <w:p w14:paraId="76DF2DBF"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color w:val="000000"/>
          <w:sz w:val="22"/>
          <w:szCs w:val="22"/>
        </w:rPr>
        <w:t xml:space="preserve">• Children are supervised, in sight and hearing of staff, always during lunch times </w:t>
      </w:r>
    </w:p>
    <w:p w14:paraId="6AEAECD3"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color w:val="000000"/>
          <w:sz w:val="22"/>
          <w:szCs w:val="22"/>
        </w:rPr>
        <w:t>• Parents are informed to not provide food that contains nuts. Staff check packets to make sure they do not contain nuts or nut products.</w:t>
      </w:r>
    </w:p>
    <w:p w14:paraId="518C3EFB"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color w:val="000000"/>
          <w:sz w:val="22"/>
          <w:szCs w:val="22"/>
        </w:rPr>
        <w:t xml:space="preserve"> • Staff check packed lunches to ensure food (particularly grapes, tomatoes, large blueberries and cocktail sausages) has been prepared in line with our advice to parents to reduce choking. Notes are sent home to remind parents of this.</w:t>
      </w:r>
    </w:p>
    <w:p w14:paraId="0C59056B" w14:textId="77777777" w:rsidR="00054E5A" w:rsidRDefault="0025292E">
      <w:pPr>
        <w:pBdr>
          <w:top w:val="nil"/>
          <w:left w:val="nil"/>
          <w:bottom w:val="nil"/>
          <w:right w:val="nil"/>
          <w:between w:val="nil"/>
        </w:pBdr>
        <w:spacing w:line="360" w:lineRule="auto"/>
        <w:ind w:left="360"/>
        <w:rPr>
          <w:color w:val="000000"/>
        </w:rPr>
      </w:pPr>
      <w:r>
        <w:rPr>
          <w:rFonts w:ascii="Arial" w:eastAsia="Arial" w:hAnsi="Arial" w:cs="Arial"/>
          <w:color w:val="000000"/>
          <w:sz w:val="22"/>
          <w:szCs w:val="22"/>
        </w:rPr>
        <w:t xml:space="preserve"> • Food served to children with identified allergies is checked by the key person (or supervising adult) to ensure that the meal (and its ingredients) does not contain any of the allergens for that child.</w:t>
      </w:r>
      <w:r>
        <w:rPr>
          <w:color w:val="000000"/>
        </w:rPr>
        <w:t xml:space="preserve"> </w:t>
      </w:r>
    </w:p>
    <w:p w14:paraId="4E31925E"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color w:val="000000"/>
          <w:sz w:val="22"/>
          <w:szCs w:val="22"/>
        </w:rPr>
        <w:t xml:space="preserve">• Tables are cleaned before and after use, with a suitable non-bleach product. </w:t>
      </w:r>
    </w:p>
    <w:p w14:paraId="5EC8F856"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color w:val="000000"/>
          <w:sz w:val="22"/>
          <w:szCs w:val="22"/>
        </w:rPr>
        <w:lastRenderedPageBreak/>
        <w:t>• Staff risk assess the likelihood of children with dietary restrictions accessing the food of other children and must take appropriate action to prevent this from happening, for example: - check the list of children’s dietary requirements displayed on the allergy- other methods, assessed against the needs and ability of the child, as agreed by the setting manager.</w:t>
      </w:r>
    </w:p>
    <w:p w14:paraId="5EEBF36D" w14:textId="77777777" w:rsidR="00054E5A" w:rsidRDefault="00054E5A">
      <w:pPr>
        <w:pBdr>
          <w:top w:val="nil"/>
          <w:left w:val="nil"/>
          <w:bottom w:val="nil"/>
          <w:right w:val="nil"/>
          <w:between w:val="nil"/>
        </w:pBdr>
        <w:spacing w:line="360" w:lineRule="auto"/>
        <w:ind w:left="360"/>
        <w:rPr>
          <w:rFonts w:ascii="Arial" w:eastAsia="Arial" w:hAnsi="Arial" w:cs="Arial"/>
          <w:color w:val="000000"/>
          <w:sz w:val="22"/>
          <w:szCs w:val="22"/>
        </w:rPr>
      </w:pPr>
    </w:p>
    <w:p w14:paraId="1CE683ED"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rFonts w:ascii="Arial" w:eastAsia="Arial" w:hAnsi="Arial" w:cs="Arial"/>
          <w:b/>
          <w:bCs/>
          <w:color w:val="000000"/>
          <w:sz w:val="22"/>
          <w:szCs w:val="22"/>
        </w:rPr>
        <w:t xml:space="preserve">Staff’s own food or drink </w:t>
      </w:r>
    </w:p>
    <w:p w14:paraId="525FE114"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color w:val="000000"/>
        </w:rPr>
        <w:t xml:space="preserve">• </w:t>
      </w:r>
      <w:r>
        <w:rPr>
          <w:rFonts w:ascii="Arial" w:eastAsia="Arial" w:hAnsi="Arial" w:cs="Arial"/>
          <w:color w:val="000000"/>
          <w:sz w:val="22"/>
          <w:szCs w:val="22"/>
        </w:rPr>
        <w:t>This should be kept in a separate designated area of the fridge.</w:t>
      </w:r>
    </w:p>
    <w:p w14:paraId="434AAF21" w14:textId="77777777" w:rsidR="00054E5A" w:rsidRDefault="00054E5A">
      <w:pPr>
        <w:pBdr>
          <w:top w:val="nil"/>
          <w:left w:val="nil"/>
          <w:bottom w:val="nil"/>
          <w:right w:val="nil"/>
          <w:between w:val="nil"/>
        </w:pBdr>
        <w:spacing w:line="360" w:lineRule="auto"/>
        <w:ind w:left="360"/>
        <w:rPr>
          <w:rFonts w:ascii="Arial" w:eastAsia="Arial" w:hAnsi="Arial" w:cs="Arial"/>
          <w:color w:val="000000"/>
          <w:sz w:val="22"/>
          <w:szCs w:val="22"/>
        </w:rPr>
      </w:pPr>
    </w:p>
    <w:p w14:paraId="232D704A" w14:textId="77777777" w:rsidR="00054E5A" w:rsidRDefault="0025292E">
      <w:pPr>
        <w:pBdr>
          <w:top w:val="nil"/>
          <w:left w:val="nil"/>
          <w:bottom w:val="nil"/>
          <w:right w:val="nil"/>
          <w:between w:val="nil"/>
        </w:pBdr>
        <w:spacing w:line="360" w:lineRule="auto"/>
        <w:ind w:left="360"/>
        <w:rPr>
          <w:color w:val="000000"/>
        </w:rPr>
      </w:pPr>
      <w:proofErr w:type="gramStart"/>
      <w:r>
        <w:rPr>
          <w:rFonts w:ascii="Arial" w:eastAsia="Arial" w:hAnsi="Arial" w:cs="Arial"/>
          <w:b/>
          <w:bCs/>
          <w:color w:val="000000"/>
        </w:rPr>
        <w:t>E.coli</w:t>
      </w:r>
      <w:proofErr w:type="gramEnd"/>
      <w:r>
        <w:rPr>
          <w:rFonts w:ascii="Arial" w:eastAsia="Arial" w:hAnsi="Arial" w:cs="Arial"/>
          <w:b/>
          <w:bCs/>
          <w:color w:val="000000"/>
        </w:rPr>
        <w:t xml:space="preserve"> prevention</w:t>
      </w:r>
      <w:r>
        <w:rPr>
          <w:color w:val="000000"/>
        </w:rPr>
        <w:t xml:space="preserve"> </w:t>
      </w:r>
    </w:p>
    <w:p w14:paraId="21397E8F" w14:textId="77777777" w:rsidR="00054E5A" w:rsidRDefault="0025292E">
      <w:pPr>
        <w:pBdr>
          <w:top w:val="nil"/>
          <w:left w:val="nil"/>
          <w:bottom w:val="nil"/>
          <w:right w:val="nil"/>
          <w:between w:val="nil"/>
        </w:pBdr>
        <w:spacing w:line="360" w:lineRule="auto"/>
        <w:ind w:left="360"/>
        <w:rPr>
          <w:color w:val="000000"/>
        </w:rPr>
      </w:pPr>
      <w:r>
        <w:rPr>
          <w:rFonts w:ascii="Arial" w:eastAsia="Arial" w:hAnsi="Arial" w:cs="Arial"/>
          <w:color w:val="000000"/>
          <w:sz w:val="22"/>
          <w:szCs w:val="22"/>
        </w:rPr>
        <w:t xml:space="preserve">Staff who are preparing and handling food, especially food that is not pre-prepared for consumption e.g. fruit and vegetables grown on the premises, must be aware of the potential spread of E.coli and must clean and store food in accordance with the E.coli 0157 guidance, available at </w:t>
      </w:r>
      <w:hyperlink r:id="rId6">
        <w:r>
          <w:rPr>
            <w:color w:val="0000FF"/>
            <w:u w:val="single"/>
          </w:rPr>
          <w:t>www.food.gov.uk/safety-hygiene/e-coli</w:t>
        </w:r>
      </w:hyperlink>
    </w:p>
    <w:p w14:paraId="35B8E5DA" w14:textId="77777777" w:rsidR="00054E5A" w:rsidRDefault="00054E5A">
      <w:pPr>
        <w:pBdr>
          <w:top w:val="nil"/>
          <w:left w:val="nil"/>
          <w:bottom w:val="nil"/>
          <w:right w:val="nil"/>
          <w:between w:val="nil"/>
        </w:pBdr>
        <w:spacing w:line="360" w:lineRule="auto"/>
        <w:ind w:left="360"/>
        <w:rPr>
          <w:color w:val="000000"/>
        </w:rPr>
      </w:pPr>
    </w:p>
    <w:p w14:paraId="1156B4FD" w14:textId="77777777" w:rsidR="00054E5A" w:rsidRDefault="0025292E">
      <w:pPr>
        <w:pBdr>
          <w:top w:val="nil"/>
          <w:left w:val="nil"/>
          <w:bottom w:val="nil"/>
          <w:right w:val="nil"/>
          <w:between w:val="nil"/>
        </w:pBdr>
        <w:spacing w:line="360" w:lineRule="auto"/>
        <w:ind w:left="360"/>
        <w:rPr>
          <w:rFonts w:ascii="Arial" w:eastAsia="Arial" w:hAnsi="Arial" w:cs="Arial"/>
          <w:color w:val="000000"/>
        </w:rPr>
      </w:pPr>
      <w:r>
        <w:rPr>
          <w:rFonts w:ascii="Arial" w:eastAsia="Arial" w:hAnsi="Arial" w:cs="Arial"/>
          <w:b/>
          <w:bCs/>
          <w:color w:val="000000"/>
        </w:rPr>
        <w:t>Legal References</w:t>
      </w:r>
    </w:p>
    <w:p w14:paraId="466A0AC0" w14:textId="77777777" w:rsidR="00054E5A" w:rsidRDefault="0025292E">
      <w:pPr>
        <w:pBdr>
          <w:top w:val="nil"/>
          <w:left w:val="nil"/>
          <w:bottom w:val="nil"/>
          <w:right w:val="nil"/>
          <w:between w:val="nil"/>
        </w:pBdr>
        <w:spacing w:line="360" w:lineRule="auto"/>
        <w:ind w:left="360"/>
        <w:rPr>
          <w:color w:val="000000"/>
        </w:rPr>
      </w:pPr>
      <w:r>
        <w:rPr>
          <w:color w:val="000000"/>
        </w:rPr>
        <w:t xml:space="preserve"> • Regulation (EC) 852/2004 of the European Parliament and of the Council on the hygiene of foodstuffs. </w:t>
      </w:r>
    </w:p>
    <w:p w14:paraId="6D2B5478" w14:textId="77777777" w:rsidR="00054E5A" w:rsidRDefault="0025292E">
      <w:pPr>
        <w:pBdr>
          <w:top w:val="nil"/>
          <w:left w:val="nil"/>
          <w:bottom w:val="nil"/>
          <w:right w:val="nil"/>
          <w:between w:val="nil"/>
        </w:pBdr>
        <w:spacing w:line="360" w:lineRule="auto"/>
        <w:ind w:left="360"/>
        <w:rPr>
          <w:color w:val="000000"/>
        </w:rPr>
      </w:pPr>
      <w:r>
        <w:rPr>
          <w:color w:val="000000"/>
        </w:rPr>
        <w:t>• Food Information Regulations 2014</w:t>
      </w:r>
    </w:p>
    <w:p w14:paraId="32546EF0" w14:textId="77777777" w:rsidR="00054E5A" w:rsidRDefault="0025292E">
      <w:pPr>
        <w:pBdr>
          <w:top w:val="nil"/>
          <w:left w:val="nil"/>
          <w:bottom w:val="nil"/>
          <w:right w:val="nil"/>
          <w:between w:val="nil"/>
        </w:pBdr>
        <w:spacing w:line="360" w:lineRule="auto"/>
        <w:ind w:left="360"/>
        <w:rPr>
          <w:color w:val="000000"/>
        </w:rPr>
      </w:pPr>
      <w:r>
        <w:rPr>
          <w:color w:val="000000"/>
        </w:rPr>
        <w:t xml:space="preserve"> • The Childcare Act 2006 Further guidance </w:t>
      </w:r>
    </w:p>
    <w:p w14:paraId="6C30C407" w14:textId="77777777" w:rsidR="00054E5A" w:rsidRDefault="0025292E">
      <w:pPr>
        <w:pBdr>
          <w:top w:val="nil"/>
          <w:left w:val="nil"/>
          <w:bottom w:val="nil"/>
          <w:right w:val="nil"/>
          <w:between w:val="nil"/>
        </w:pBdr>
        <w:spacing w:line="360" w:lineRule="auto"/>
        <w:ind w:left="360"/>
        <w:rPr>
          <w:color w:val="000000"/>
        </w:rPr>
      </w:pPr>
      <w:r>
        <w:rPr>
          <w:color w:val="000000"/>
        </w:rPr>
        <w:t xml:space="preserve">• Eat Better, Start Better (Action for Children 207) </w:t>
      </w:r>
      <w:hyperlink r:id="rId7">
        <w:r>
          <w:rPr>
            <w:color w:val="0000FF"/>
            <w:u w:val="single"/>
          </w:rPr>
          <w:t>www.foundationyears.org.uk/eat-better-start-better/</w:t>
        </w:r>
      </w:hyperlink>
      <w:r>
        <w:rPr>
          <w:color w:val="000000"/>
        </w:rPr>
        <w:t xml:space="preserve"> </w:t>
      </w:r>
    </w:p>
    <w:p w14:paraId="25DD2E64" w14:textId="77777777" w:rsidR="00054E5A" w:rsidRDefault="0025292E">
      <w:pPr>
        <w:pBdr>
          <w:top w:val="nil"/>
          <w:left w:val="nil"/>
          <w:bottom w:val="nil"/>
          <w:right w:val="nil"/>
          <w:between w:val="nil"/>
        </w:pBdr>
        <w:spacing w:line="360" w:lineRule="auto"/>
        <w:ind w:left="360"/>
        <w:rPr>
          <w:color w:val="000000"/>
        </w:rPr>
      </w:pPr>
      <w:r>
        <w:rPr>
          <w:color w:val="000000"/>
        </w:rPr>
        <w:t xml:space="preserve">• Example Menus for Early Years Settings in England (PHE 2017) </w:t>
      </w:r>
      <w:hyperlink r:id="rId8">
        <w:r>
          <w:rPr>
            <w:color w:val="0000FF"/>
            <w:u w:val="single"/>
          </w:rPr>
          <w:t>www.gov.uk/government/publications/example-menus-for-early-years-settings-inengland</w:t>
        </w:r>
      </w:hyperlink>
      <w:r>
        <w:rPr>
          <w:color w:val="000000"/>
        </w:rPr>
        <w:t xml:space="preserve"> </w:t>
      </w:r>
    </w:p>
    <w:p w14:paraId="314970E5" w14:textId="77777777" w:rsidR="00054E5A" w:rsidRDefault="0025292E">
      <w:pPr>
        <w:pBdr>
          <w:top w:val="nil"/>
          <w:left w:val="nil"/>
          <w:bottom w:val="nil"/>
          <w:right w:val="nil"/>
          <w:between w:val="nil"/>
        </w:pBdr>
        <w:spacing w:line="360" w:lineRule="auto"/>
        <w:ind w:left="360"/>
        <w:rPr>
          <w:color w:val="000000"/>
        </w:rPr>
      </w:pPr>
      <w:r>
        <w:rPr>
          <w:color w:val="000000"/>
        </w:rPr>
        <w:t xml:space="preserve">• Safe Food Better Business </w:t>
      </w:r>
      <w:hyperlink r:id="rId9">
        <w:r>
          <w:rPr>
            <w:color w:val="0000FF"/>
            <w:u w:val="single"/>
          </w:rPr>
          <w:t>www.food.gov.uk/business-guidance/safer-food-better-business-sfbb</w:t>
        </w:r>
      </w:hyperlink>
      <w:r>
        <w:rPr>
          <w:color w:val="000000"/>
        </w:rPr>
        <w:t xml:space="preserve"> </w:t>
      </w:r>
    </w:p>
    <w:p w14:paraId="697CCE5E" w14:textId="77777777" w:rsidR="00054E5A" w:rsidRDefault="0025292E">
      <w:pPr>
        <w:pBdr>
          <w:top w:val="nil"/>
          <w:left w:val="nil"/>
          <w:bottom w:val="nil"/>
          <w:right w:val="nil"/>
          <w:between w:val="nil"/>
        </w:pBdr>
        <w:spacing w:line="360" w:lineRule="auto"/>
        <w:ind w:left="360"/>
        <w:rPr>
          <w:color w:val="000000"/>
        </w:rPr>
      </w:pPr>
      <w:r>
        <w:rPr>
          <w:color w:val="000000"/>
        </w:rPr>
        <w:t xml:space="preserve">• Safer Food Better Business for Caterers (Food Standards Agency) </w:t>
      </w:r>
      <w:hyperlink r:id="rId10">
        <w:r>
          <w:rPr>
            <w:color w:val="0000FF"/>
            <w:u w:val="single"/>
          </w:rPr>
          <w:t>https://www.food.gov.uk/business-guidance/safer-food-better-business-for-caterers</w:t>
        </w:r>
      </w:hyperlink>
    </w:p>
    <w:p w14:paraId="7405C96E" w14:textId="77777777" w:rsidR="00054E5A" w:rsidRDefault="0025292E">
      <w:pPr>
        <w:pBdr>
          <w:top w:val="nil"/>
          <w:left w:val="nil"/>
          <w:bottom w:val="nil"/>
          <w:right w:val="nil"/>
          <w:between w:val="nil"/>
        </w:pBdr>
        <w:spacing w:line="360" w:lineRule="auto"/>
        <w:ind w:left="360"/>
        <w:rPr>
          <w:color w:val="000000"/>
        </w:rPr>
      </w:pPr>
      <w:r>
        <w:rPr>
          <w:color w:val="000000"/>
        </w:rPr>
        <w:t xml:space="preserve"> • Allergen information for loose foods (Food Standards Agency 2017) </w:t>
      </w:r>
      <w:hyperlink r:id="rId11">
        <w:r>
          <w:rPr>
            <w:color w:val="0000FF"/>
            <w:u w:val="single"/>
          </w:rPr>
          <w:t>www.food.gov.uk/sites/default/files/media/document/loosefoodsleaflet.pdf</w:t>
        </w:r>
      </w:hyperlink>
      <w:r>
        <w:rPr>
          <w:color w:val="000000"/>
        </w:rPr>
        <w:t xml:space="preserve"> </w:t>
      </w:r>
    </w:p>
    <w:p w14:paraId="1D0D86A3" w14:textId="77777777" w:rsidR="00054E5A" w:rsidRDefault="0025292E">
      <w:pPr>
        <w:pBdr>
          <w:top w:val="nil"/>
          <w:left w:val="nil"/>
          <w:bottom w:val="nil"/>
          <w:right w:val="nil"/>
          <w:between w:val="nil"/>
        </w:pBdr>
        <w:spacing w:line="360" w:lineRule="auto"/>
        <w:ind w:left="360"/>
        <w:rPr>
          <w:rFonts w:ascii="Arial" w:eastAsia="Arial" w:hAnsi="Arial" w:cs="Arial"/>
          <w:color w:val="000000"/>
          <w:sz w:val="22"/>
          <w:szCs w:val="22"/>
        </w:rPr>
      </w:pPr>
      <w:r>
        <w:rPr>
          <w:color w:val="000000"/>
        </w:rPr>
        <w:t>• Campylobacter (Food Standards Agency) www.food.gov.uk/news-updates/campaigns/campylobacter/fsw-2014</w:t>
      </w:r>
    </w:p>
    <w:p w14:paraId="2AF2D07E" w14:textId="77777777" w:rsidR="00054E5A" w:rsidRDefault="00054E5A">
      <w:pPr>
        <w:pBdr>
          <w:top w:val="nil"/>
          <w:left w:val="nil"/>
          <w:bottom w:val="nil"/>
          <w:right w:val="nil"/>
          <w:between w:val="nil"/>
        </w:pBdr>
        <w:spacing w:line="360" w:lineRule="auto"/>
        <w:ind w:left="360"/>
        <w:rPr>
          <w:rFonts w:ascii="Arial" w:eastAsia="Arial" w:hAnsi="Arial" w:cs="Arial"/>
          <w:color w:val="000000"/>
          <w:sz w:val="22"/>
          <w:szCs w:val="22"/>
        </w:rPr>
      </w:pPr>
    </w:p>
    <w:tbl>
      <w:tblPr>
        <w:tblStyle w:val="a0"/>
        <w:tblW w:w="9819" w:type="dxa"/>
        <w:tblInd w:w="-108" w:type="dxa"/>
        <w:tblLayout w:type="fixed"/>
        <w:tblLook w:val="0000" w:firstRow="0" w:lastRow="0" w:firstColumn="0" w:lastColumn="0" w:noHBand="0" w:noVBand="0"/>
      </w:tblPr>
      <w:tblGrid>
        <w:gridCol w:w="4519"/>
        <w:gridCol w:w="3421"/>
        <w:gridCol w:w="1879"/>
      </w:tblGrid>
      <w:tr w:rsidR="00054E5A" w14:paraId="476C750F" w14:textId="77777777">
        <w:tc>
          <w:tcPr>
            <w:tcW w:w="4519" w:type="dxa"/>
          </w:tcPr>
          <w:p w14:paraId="40352ADE" w14:textId="77777777" w:rsidR="00054E5A" w:rsidRDefault="0025292E">
            <w:pPr>
              <w:spacing w:line="360" w:lineRule="auto"/>
              <w:rPr>
                <w:rFonts w:ascii="Arial" w:eastAsia="Arial" w:hAnsi="Arial" w:cs="Arial"/>
              </w:rPr>
            </w:pPr>
            <w:r>
              <w:rPr>
                <w:rFonts w:ascii="Arial" w:eastAsia="Arial" w:hAnsi="Arial" w:cs="Arial"/>
                <w:sz w:val="22"/>
                <w:szCs w:val="22"/>
              </w:rPr>
              <w:t>This policy was adopted at a meeting of</w:t>
            </w:r>
          </w:p>
        </w:tc>
        <w:tc>
          <w:tcPr>
            <w:tcW w:w="3421" w:type="dxa"/>
            <w:tcBorders>
              <w:bottom w:val="single" w:sz="4" w:space="0" w:color="9BBB59"/>
            </w:tcBorders>
          </w:tcPr>
          <w:p w14:paraId="52BA7039" w14:textId="77777777" w:rsidR="00054E5A" w:rsidRDefault="0025292E">
            <w:pPr>
              <w:spacing w:line="360" w:lineRule="auto"/>
              <w:rPr>
                <w:rFonts w:ascii="Arial" w:eastAsia="Arial" w:hAnsi="Arial" w:cs="Arial"/>
              </w:rPr>
            </w:pPr>
            <w:r>
              <w:rPr>
                <w:rFonts w:ascii="Arial" w:eastAsia="Arial" w:hAnsi="Arial" w:cs="Arial"/>
              </w:rPr>
              <w:t xml:space="preserve">Burghclere </w:t>
            </w:r>
            <w:proofErr w:type="gramStart"/>
            <w:r>
              <w:rPr>
                <w:rFonts w:ascii="Arial" w:eastAsia="Arial" w:hAnsi="Arial" w:cs="Arial"/>
              </w:rPr>
              <w:t>Pre-School</w:t>
            </w:r>
            <w:proofErr w:type="gramEnd"/>
          </w:p>
        </w:tc>
        <w:tc>
          <w:tcPr>
            <w:tcW w:w="1879" w:type="dxa"/>
          </w:tcPr>
          <w:p w14:paraId="557011EC" w14:textId="77777777" w:rsidR="00054E5A" w:rsidRDefault="00054E5A">
            <w:pPr>
              <w:spacing w:line="360" w:lineRule="auto"/>
              <w:rPr>
                <w:rFonts w:ascii="Arial" w:eastAsia="Arial" w:hAnsi="Arial" w:cs="Arial"/>
              </w:rPr>
            </w:pPr>
          </w:p>
        </w:tc>
      </w:tr>
      <w:tr w:rsidR="00054E5A" w14:paraId="6262A4E3" w14:textId="77777777">
        <w:tc>
          <w:tcPr>
            <w:tcW w:w="4519" w:type="dxa"/>
          </w:tcPr>
          <w:p w14:paraId="26D390A0" w14:textId="77777777" w:rsidR="00054E5A" w:rsidRDefault="0025292E">
            <w:pPr>
              <w:spacing w:line="360" w:lineRule="auto"/>
              <w:rPr>
                <w:rFonts w:ascii="Arial" w:eastAsia="Arial" w:hAnsi="Arial" w:cs="Arial"/>
              </w:rPr>
            </w:pPr>
            <w:r>
              <w:rPr>
                <w:rFonts w:ascii="Arial" w:eastAsia="Arial" w:hAnsi="Arial" w:cs="Arial"/>
                <w:sz w:val="22"/>
                <w:szCs w:val="22"/>
              </w:rPr>
              <w:t>Held on</w:t>
            </w:r>
          </w:p>
        </w:tc>
        <w:tc>
          <w:tcPr>
            <w:tcW w:w="3421" w:type="dxa"/>
            <w:tcBorders>
              <w:top w:val="single" w:sz="4" w:space="0" w:color="9BBB59"/>
              <w:bottom w:val="single" w:sz="4" w:space="0" w:color="9BBB59"/>
            </w:tcBorders>
          </w:tcPr>
          <w:p w14:paraId="1D600B3D" w14:textId="77777777" w:rsidR="00054E5A" w:rsidRDefault="0025292E">
            <w:pPr>
              <w:spacing w:line="360" w:lineRule="auto"/>
              <w:rPr>
                <w:rFonts w:ascii="Arial" w:eastAsia="Arial" w:hAnsi="Arial" w:cs="Arial"/>
              </w:rPr>
            </w:pPr>
            <w:r>
              <w:rPr>
                <w:rFonts w:ascii="Arial" w:eastAsia="Arial" w:hAnsi="Arial" w:cs="Arial"/>
              </w:rPr>
              <w:t xml:space="preserve">                      </w:t>
            </w:r>
            <w:r>
              <w:rPr>
                <w:rFonts w:ascii="Arial" w:eastAsia="Arial" w:hAnsi="Arial" w:cs="Arial"/>
              </w:rPr>
              <w:t xml:space="preserve"> 202</w:t>
            </w:r>
            <w:r>
              <w:rPr>
                <w:rFonts w:ascii="Arial" w:eastAsia="Arial" w:hAnsi="Arial" w:cs="Arial"/>
              </w:rPr>
              <w:t>6</w:t>
            </w:r>
          </w:p>
        </w:tc>
        <w:tc>
          <w:tcPr>
            <w:tcW w:w="1879" w:type="dxa"/>
          </w:tcPr>
          <w:p w14:paraId="089BF715" w14:textId="77777777" w:rsidR="00054E5A" w:rsidRDefault="0025292E">
            <w:pPr>
              <w:spacing w:line="360" w:lineRule="auto"/>
              <w:rPr>
                <w:rFonts w:ascii="Arial" w:eastAsia="Arial" w:hAnsi="Arial" w:cs="Arial"/>
              </w:rPr>
            </w:pPr>
            <w:r>
              <w:rPr>
                <w:rFonts w:ascii="Arial" w:eastAsia="Arial" w:hAnsi="Arial" w:cs="Arial"/>
                <w:sz w:val="22"/>
                <w:szCs w:val="22"/>
              </w:rPr>
              <w:t>(date)</w:t>
            </w:r>
          </w:p>
        </w:tc>
      </w:tr>
      <w:tr w:rsidR="00054E5A" w14:paraId="02056845" w14:textId="77777777">
        <w:tc>
          <w:tcPr>
            <w:tcW w:w="4519" w:type="dxa"/>
          </w:tcPr>
          <w:p w14:paraId="7D5C8482" w14:textId="77777777" w:rsidR="00054E5A" w:rsidRDefault="0025292E">
            <w:pPr>
              <w:spacing w:line="360" w:lineRule="auto"/>
              <w:rPr>
                <w:rFonts w:ascii="Arial" w:eastAsia="Arial" w:hAnsi="Arial" w:cs="Arial"/>
              </w:rPr>
            </w:pPr>
            <w:r>
              <w:rPr>
                <w:rFonts w:ascii="Arial" w:eastAsia="Arial" w:hAnsi="Arial" w:cs="Arial"/>
                <w:sz w:val="22"/>
                <w:szCs w:val="22"/>
              </w:rPr>
              <w:t>Date to be reviewed</w:t>
            </w:r>
          </w:p>
        </w:tc>
        <w:tc>
          <w:tcPr>
            <w:tcW w:w="3421" w:type="dxa"/>
            <w:tcBorders>
              <w:top w:val="single" w:sz="4" w:space="0" w:color="9BBB59"/>
              <w:bottom w:val="single" w:sz="4" w:space="0" w:color="9BBB59"/>
            </w:tcBorders>
          </w:tcPr>
          <w:p w14:paraId="61546C94" w14:textId="77777777" w:rsidR="00054E5A" w:rsidRDefault="0025292E">
            <w:pPr>
              <w:spacing w:line="360" w:lineRule="auto"/>
              <w:rPr>
                <w:rFonts w:ascii="Arial" w:eastAsia="Arial" w:hAnsi="Arial" w:cs="Arial"/>
              </w:rPr>
            </w:pPr>
            <w:r>
              <w:rPr>
                <w:rFonts w:ascii="Arial" w:eastAsia="Arial" w:hAnsi="Arial" w:cs="Arial"/>
              </w:rPr>
              <w:t>April 202</w:t>
            </w:r>
            <w:r>
              <w:rPr>
                <w:rFonts w:ascii="Arial" w:eastAsia="Arial" w:hAnsi="Arial" w:cs="Arial"/>
              </w:rPr>
              <w:t>7</w:t>
            </w:r>
          </w:p>
        </w:tc>
        <w:tc>
          <w:tcPr>
            <w:tcW w:w="1879" w:type="dxa"/>
          </w:tcPr>
          <w:p w14:paraId="7ED6659E" w14:textId="77777777" w:rsidR="00054E5A" w:rsidRDefault="0025292E">
            <w:pPr>
              <w:spacing w:line="360" w:lineRule="auto"/>
              <w:rPr>
                <w:rFonts w:ascii="Arial" w:eastAsia="Arial" w:hAnsi="Arial" w:cs="Arial"/>
              </w:rPr>
            </w:pPr>
            <w:r>
              <w:rPr>
                <w:rFonts w:ascii="Arial" w:eastAsia="Arial" w:hAnsi="Arial" w:cs="Arial"/>
                <w:sz w:val="22"/>
                <w:szCs w:val="22"/>
              </w:rPr>
              <w:t>(date)</w:t>
            </w:r>
          </w:p>
        </w:tc>
      </w:tr>
      <w:tr w:rsidR="00054E5A" w14:paraId="6C92E5C4" w14:textId="77777777">
        <w:tc>
          <w:tcPr>
            <w:tcW w:w="4519" w:type="dxa"/>
          </w:tcPr>
          <w:p w14:paraId="247DDAF0" w14:textId="77777777" w:rsidR="00054E5A" w:rsidRDefault="0025292E">
            <w:pPr>
              <w:spacing w:line="360" w:lineRule="auto"/>
              <w:rPr>
                <w:rFonts w:ascii="Arial" w:eastAsia="Arial" w:hAnsi="Arial" w:cs="Arial"/>
              </w:rPr>
            </w:pPr>
            <w:r>
              <w:rPr>
                <w:rFonts w:ascii="Arial" w:eastAsia="Arial" w:hAnsi="Arial" w:cs="Arial"/>
                <w:sz w:val="22"/>
                <w:szCs w:val="22"/>
              </w:rPr>
              <w:lastRenderedPageBreak/>
              <w:t>Signed on behalf of the management committee</w:t>
            </w:r>
          </w:p>
        </w:tc>
        <w:tc>
          <w:tcPr>
            <w:tcW w:w="5300" w:type="dxa"/>
            <w:gridSpan w:val="2"/>
            <w:tcBorders>
              <w:bottom w:val="single" w:sz="4" w:space="0" w:color="9BBB59"/>
            </w:tcBorders>
          </w:tcPr>
          <w:p w14:paraId="0B44E1B0" w14:textId="77777777" w:rsidR="00054E5A" w:rsidRDefault="00054E5A">
            <w:pPr>
              <w:spacing w:line="360" w:lineRule="auto"/>
              <w:rPr>
                <w:rFonts w:ascii="Arial" w:eastAsia="Arial" w:hAnsi="Arial" w:cs="Arial"/>
              </w:rPr>
            </w:pPr>
          </w:p>
        </w:tc>
      </w:tr>
      <w:tr w:rsidR="00054E5A" w14:paraId="13344755" w14:textId="77777777">
        <w:tc>
          <w:tcPr>
            <w:tcW w:w="4519" w:type="dxa"/>
            <w:tcBorders>
              <w:top w:val="nil"/>
              <w:left w:val="nil"/>
              <w:bottom w:val="nil"/>
              <w:right w:val="nil"/>
            </w:tcBorders>
          </w:tcPr>
          <w:p w14:paraId="5A857F52" w14:textId="77777777" w:rsidR="00054E5A" w:rsidRDefault="0025292E">
            <w:pPr>
              <w:spacing w:line="360" w:lineRule="auto"/>
              <w:rPr>
                <w:rFonts w:ascii="Arial" w:eastAsia="Arial" w:hAnsi="Arial" w:cs="Arial"/>
              </w:rPr>
            </w:pPr>
            <w:r>
              <w:rPr>
                <w:rFonts w:ascii="Arial" w:eastAsia="Arial" w:hAnsi="Arial" w:cs="Arial"/>
                <w:sz w:val="22"/>
                <w:szCs w:val="22"/>
              </w:rPr>
              <w:t>Name of signatory</w:t>
            </w:r>
          </w:p>
        </w:tc>
        <w:tc>
          <w:tcPr>
            <w:tcW w:w="5300" w:type="dxa"/>
            <w:gridSpan w:val="2"/>
            <w:tcBorders>
              <w:top w:val="single" w:sz="4" w:space="0" w:color="9BBB59"/>
              <w:left w:val="nil"/>
              <w:bottom w:val="single" w:sz="4" w:space="0" w:color="9BBB59"/>
              <w:right w:val="nil"/>
            </w:tcBorders>
          </w:tcPr>
          <w:p w14:paraId="4E725504" w14:textId="77777777" w:rsidR="00054E5A" w:rsidRDefault="0025292E">
            <w:pPr>
              <w:spacing w:line="360" w:lineRule="auto"/>
              <w:rPr>
                <w:rFonts w:ascii="Arial" w:eastAsia="Arial" w:hAnsi="Arial" w:cs="Arial"/>
              </w:rPr>
            </w:pPr>
            <w:r>
              <w:rPr>
                <w:rFonts w:ascii="Arial" w:eastAsia="Arial" w:hAnsi="Arial" w:cs="Arial"/>
              </w:rPr>
              <w:t>Lucy Nelligan</w:t>
            </w:r>
          </w:p>
        </w:tc>
      </w:tr>
      <w:tr w:rsidR="00054E5A" w14:paraId="5B4C45FC" w14:textId="77777777">
        <w:tc>
          <w:tcPr>
            <w:tcW w:w="4519" w:type="dxa"/>
            <w:tcBorders>
              <w:top w:val="nil"/>
              <w:left w:val="nil"/>
              <w:bottom w:val="nil"/>
              <w:right w:val="nil"/>
            </w:tcBorders>
          </w:tcPr>
          <w:p w14:paraId="57A1494A" w14:textId="77777777" w:rsidR="00054E5A" w:rsidRDefault="0025292E">
            <w:pPr>
              <w:spacing w:line="360" w:lineRule="auto"/>
              <w:rPr>
                <w:rFonts w:ascii="Arial" w:eastAsia="Arial" w:hAnsi="Arial" w:cs="Arial"/>
              </w:rPr>
            </w:pPr>
            <w:r>
              <w:rPr>
                <w:rFonts w:ascii="Arial" w:eastAsia="Arial" w:hAnsi="Arial" w:cs="Arial"/>
                <w:sz w:val="22"/>
                <w:szCs w:val="22"/>
              </w:rPr>
              <w:t>Role of signatory (e.g. chair/owner)</w:t>
            </w:r>
          </w:p>
        </w:tc>
        <w:tc>
          <w:tcPr>
            <w:tcW w:w="5300" w:type="dxa"/>
            <w:gridSpan w:val="2"/>
            <w:tcBorders>
              <w:top w:val="single" w:sz="4" w:space="0" w:color="9BBB59"/>
              <w:left w:val="nil"/>
              <w:bottom w:val="single" w:sz="4" w:space="0" w:color="9BBB59"/>
              <w:right w:val="nil"/>
            </w:tcBorders>
          </w:tcPr>
          <w:p w14:paraId="61858BAD" w14:textId="77777777" w:rsidR="00054E5A" w:rsidRDefault="0025292E">
            <w:pPr>
              <w:spacing w:line="360" w:lineRule="auto"/>
              <w:rPr>
                <w:rFonts w:ascii="Arial" w:eastAsia="Arial" w:hAnsi="Arial" w:cs="Arial"/>
              </w:rPr>
            </w:pPr>
            <w:r>
              <w:rPr>
                <w:rFonts w:ascii="Arial" w:eastAsia="Arial" w:hAnsi="Arial" w:cs="Arial"/>
              </w:rPr>
              <w:t>Volunteer</w:t>
            </w:r>
          </w:p>
        </w:tc>
      </w:tr>
      <w:tr w:rsidR="00054E5A" w14:paraId="725D58D9" w14:textId="77777777">
        <w:tc>
          <w:tcPr>
            <w:tcW w:w="4519" w:type="dxa"/>
            <w:tcBorders>
              <w:top w:val="nil"/>
              <w:left w:val="nil"/>
              <w:bottom w:val="nil"/>
              <w:right w:val="nil"/>
            </w:tcBorders>
          </w:tcPr>
          <w:p w14:paraId="1825C218" w14:textId="77777777" w:rsidR="00054E5A" w:rsidRDefault="00054E5A">
            <w:pPr>
              <w:spacing w:line="360" w:lineRule="auto"/>
              <w:rPr>
                <w:rFonts w:ascii="Arial" w:eastAsia="Arial" w:hAnsi="Arial" w:cs="Arial"/>
                <w:sz w:val="22"/>
                <w:szCs w:val="22"/>
              </w:rPr>
            </w:pPr>
          </w:p>
        </w:tc>
        <w:tc>
          <w:tcPr>
            <w:tcW w:w="5300" w:type="dxa"/>
            <w:gridSpan w:val="2"/>
            <w:tcBorders>
              <w:top w:val="single" w:sz="4" w:space="0" w:color="9BBB59"/>
              <w:left w:val="nil"/>
              <w:bottom w:val="single" w:sz="4" w:space="0" w:color="9BBB59"/>
              <w:right w:val="nil"/>
            </w:tcBorders>
          </w:tcPr>
          <w:p w14:paraId="7B93DB9F" w14:textId="77777777" w:rsidR="00054E5A" w:rsidRDefault="00054E5A">
            <w:pPr>
              <w:spacing w:line="360" w:lineRule="auto"/>
              <w:rPr>
                <w:rFonts w:ascii="Arial" w:eastAsia="Arial" w:hAnsi="Arial" w:cs="Arial"/>
              </w:rPr>
            </w:pPr>
          </w:p>
        </w:tc>
      </w:tr>
      <w:tr w:rsidR="00054E5A" w14:paraId="6FAAB6EC" w14:textId="77777777">
        <w:tc>
          <w:tcPr>
            <w:tcW w:w="4519" w:type="dxa"/>
            <w:tcBorders>
              <w:top w:val="nil"/>
              <w:left w:val="nil"/>
              <w:bottom w:val="nil"/>
              <w:right w:val="nil"/>
            </w:tcBorders>
          </w:tcPr>
          <w:p w14:paraId="022660DE" w14:textId="77777777" w:rsidR="00054E5A" w:rsidRDefault="00054E5A">
            <w:pPr>
              <w:spacing w:line="360" w:lineRule="auto"/>
              <w:rPr>
                <w:rFonts w:ascii="Arial" w:eastAsia="Arial" w:hAnsi="Arial" w:cs="Arial"/>
                <w:sz w:val="22"/>
                <w:szCs w:val="22"/>
              </w:rPr>
            </w:pPr>
          </w:p>
        </w:tc>
        <w:tc>
          <w:tcPr>
            <w:tcW w:w="5300" w:type="dxa"/>
            <w:gridSpan w:val="2"/>
            <w:tcBorders>
              <w:top w:val="single" w:sz="4" w:space="0" w:color="9BBB59"/>
              <w:left w:val="nil"/>
              <w:bottom w:val="single" w:sz="4" w:space="0" w:color="9BBB59"/>
              <w:right w:val="nil"/>
            </w:tcBorders>
          </w:tcPr>
          <w:p w14:paraId="155EC4A5" w14:textId="77777777" w:rsidR="00054E5A" w:rsidRDefault="00054E5A">
            <w:pPr>
              <w:spacing w:line="360" w:lineRule="auto"/>
              <w:rPr>
                <w:rFonts w:ascii="Arial" w:eastAsia="Arial" w:hAnsi="Arial" w:cs="Arial"/>
              </w:rPr>
            </w:pPr>
          </w:p>
        </w:tc>
      </w:tr>
    </w:tbl>
    <w:p w14:paraId="0338696F" w14:textId="77777777" w:rsidR="00054E5A" w:rsidRDefault="0025292E">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                                                                </w:t>
      </w:r>
    </w:p>
    <w:sectPr w:rsidR="00054E5A">
      <w:pgSz w:w="11907" w:h="16839"/>
      <w:pgMar w:top="1152" w:right="1152" w:bottom="1152" w:left="1152"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8DFA91A-D468-4031-B923-F120A86DB05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2" w:fontKey="{0C7D05E7-E4AA-4D8F-A978-933C17313BA3}"/>
  </w:font>
  <w:font w:name="Calibri">
    <w:panose1 w:val="020F0502020204030204"/>
    <w:charset w:val="00"/>
    <w:family w:val="swiss"/>
    <w:pitch w:val="variable"/>
    <w:sig w:usb0="E4002EFF" w:usb1="C200247B" w:usb2="00000009" w:usb3="00000000" w:csb0="000001FF" w:csb1="00000000"/>
    <w:embedRegular r:id="rId3" w:fontKey="{C4A1878E-074B-4D04-B2ED-9F07C8688511}"/>
  </w:font>
  <w:font w:name="Cambria">
    <w:panose1 w:val="02040503050406030204"/>
    <w:charset w:val="00"/>
    <w:family w:val="roman"/>
    <w:pitch w:val="variable"/>
    <w:sig w:usb0="E00006FF" w:usb1="420024FF" w:usb2="02000000" w:usb3="00000000" w:csb0="0000019F" w:csb1="00000000"/>
    <w:embedRegular r:id="rId4" w:fontKey="{1CFAD651-956F-4BBB-BD0B-EB6904319C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E3E92"/>
    <w:multiLevelType w:val="multilevel"/>
    <w:tmpl w:val="581CA9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7BD101D"/>
    <w:multiLevelType w:val="multilevel"/>
    <w:tmpl w:val="0A8E67E6"/>
    <w:lvl w:ilvl="0">
      <w:start w:val="1"/>
      <w:numFmt w:val="bullet"/>
      <w:lvlText w:val="▪"/>
      <w:lvlJc w:val="left"/>
      <w:pPr>
        <w:ind w:left="360" w:hanging="360"/>
      </w:pPr>
      <w:rPr>
        <w:rFonts w:ascii="Noto Sans Symbols" w:eastAsia="Noto Sans Symbols" w:hAnsi="Noto Sans Symbols" w:cs="Noto Sans Symbols"/>
        <w:color w:val="9BBB59"/>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5FAF01C5"/>
    <w:multiLevelType w:val="multilevel"/>
    <w:tmpl w:val="43044224"/>
    <w:lvl w:ilvl="0">
      <w:start w:val="1"/>
      <w:numFmt w:val="bullet"/>
      <w:lvlText w:val="▪"/>
      <w:lvlJc w:val="left"/>
      <w:pPr>
        <w:ind w:left="360" w:hanging="360"/>
      </w:pPr>
      <w:rPr>
        <w:rFonts w:ascii="Noto Sans Symbols" w:eastAsia="Noto Sans Symbols" w:hAnsi="Noto Sans Symbols" w:cs="Noto Sans Symbols"/>
        <w:color w:val="9BBB59"/>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EA266D2"/>
    <w:multiLevelType w:val="multilevel"/>
    <w:tmpl w:val="AEEAB294"/>
    <w:lvl w:ilvl="0">
      <w:start w:val="1"/>
      <w:numFmt w:val="bullet"/>
      <w:lvlText w:val="▪"/>
      <w:lvlJc w:val="left"/>
      <w:pPr>
        <w:ind w:left="720" w:hanging="360"/>
      </w:pPr>
      <w:rPr>
        <w:rFonts w:ascii="Noto Sans Symbols" w:eastAsia="Noto Sans Symbols" w:hAnsi="Noto Sans Symbols" w:cs="Noto Sans Symbols"/>
        <w:color w:val="9BBB59"/>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16cid:durableId="348143829">
    <w:abstractNumId w:val="1"/>
  </w:num>
  <w:num w:numId="2" w16cid:durableId="812216666">
    <w:abstractNumId w:val="3"/>
  </w:num>
  <w:num w:numId="3" w16cid:durableId="1790052305">
    <w:abstractNumId w:val="2"/>
  </w:num>
  <w:num w:numId="4" w16cid:durableId="89937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5A"/>
    <w:rsid w:val="00030523"/>
    <w:rsid w:val="00054E5A"/>
    <w:rsid w:val="001943C5"/>
    <w:rsid w:val="00252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B9CB"/>
  <w15:docId w15:val="{0D33B37E-9656-4A71-AA01-B4D91B22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outlineLvl w:val="0"/>
    </w:pPr>
    <w:rPr>
      <w:rFonts w:ascii="Arial" w:eastAsia="Arial" w:hAnsi="Arial" w:cs="Arial"/>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example-menus-for-early-years-settings-inenglan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foundationyears.org.uk/eat-better-start-bette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ood.gov.uk/safety-hygiene/e-coli" TargetMode="External"/><Relationship Id="rId11" Type="http://schemas.openxmlformats.org/officeDocument/2006/relationships/hyperlink" Target="http://www.food.gov.uk/sites/default/files/media/document/loosefoodsleaflet.pdf" TargetMode="External"/><Relationship Id="rId5" Type="http://schemas.openxmlformats.org/officeDocument/2006/relationships/webSettings" Target="webSettings.xml"/><Relationship Id="rId10" Type="http://schemas.openxmlformats.org/officeDocument/2006/relationships/hyperlink" Target="https://www.food.gov.uk/business-guidance/safer-food-better-business-for-caterers" TargetMode="External"/><Relationship Id="rId4" Type="http://schemas.openxmlformats.org/officeDocument/2006/relationships/settings" Target="settings.xml"/><Relationship Id="rId9" Type="http://schemas.openxmlformats.org/officeDocument/2006/relationships/hyperlink" Target="http://www.food.gov.uk/business-guidance/safer-food-better-business-sfb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0f0f/8g2X0BFcFVauYDXSlNbdA==">CgMxLjA4AHIhMVBsSS1jWHFIU2R6ZkpqdzA1dXdyQ2VFNVA5ZGY5Q1pr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973</Words>
  <Characters>5550</Characters>
  <Application>Microsoft Office Word</Application>
  <DocSecurity>0</DocSecurity>
  <Lines>46</Lines>
  <Paragraphs>13</Paragraphs>
  <ScaleCrop>false</ScaleCrop>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Burghclere Preschool</cp:lastModifiedBy>
  <cp:revision>2</cp:revision>
  <dcterms:created xsi:type="dcterms:W3CDTF">2026-04-22T12:49:00Z</dcterms:created>
  <dcterms:modified xsi:type="dcterms:W3CDTF">2026-04-22T12:49:00Z</dcterms:modified>
</cp:coreProperties>
</file>